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580" w:lineRule="exact"/>
        <w:ind w:right="-108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</w:p>
    <w:p>
      <w:pPr>
        <w:pStyle w:val="7"/>
        <w:widowControl/>
        <w:spacing w:line="580" w:lineRule="exact"/>
        <w:ind w:right="-108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7"/>
        <w:widowControl/>
        <w:spacing w:line="580" w:lineRule="exact"/>
        <w:ind w:right="-108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创建广西工程建设质量管理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先进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企业、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先进</w:t>
      </w:r>
    </w:p>
    <w:p>
      <w:pPr>
        <w:pStyle w:val="7"/>
        <w:widowControl/>
        <w:spacing w:line="580" w:lineRule="exact"/>
        <w:ind w:right="-108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项目部和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先进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工作者活动办法</w:t>
      </w:r>
    </w:p>
    <w:p>
      <w:pPr>
        <w:pStyle w:val="7"/>
        <w:widowControl/>
        <w:spacing w:line="580" w:lineRule="exact"/>
        <w:ind w:right="-108"/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4"/>
        </w:rPr>
        <w:t>（</w:t>
      </w:r>
      <w:r>
        <w:rPr>
          <w:rFonts w:hint="eastAsia" w:ascii="Times New Roman" w:hAnsi="Times New Roman" w:eastAsia="方正小标宋_GBK" w:cs="Times New Roman"/>
          <w:color w:val="auto"/>
          <w:sz w:val="40"/>
          <w:szCs w:val="44"/>
          <w:lang w:eastAsia="zh-CN"/>
        </w:rPr>
        <w:t>征求意见</w:t>
      </w:r>
      <w:r>
        <w:rPr>
          <w:rFonts w:hint="default" w:ascii="Times New Roman" w:hAnsi="Times New Roman" w:eastAsia="方正小标宋_GBK" w:cs="Times New Roman"/>
          <w:color w:val="auto"/>
          <w:sz w:val="40"/>
          <w:szCs w:val="44"/>
        </w:rPr>
        <w:t>稿）</w:t>
      </w:r>
    </w:p>
    <w:p>
      <w:pPr>
        <w:pStyle w:val="7"/>
        <w:widowControl/>
        <w:spacing w:line="270" w:lineRule="atLeast"/>
        <w:ind w:right="-105" w:firstLine="560"/>
        <w:jc w:val="center"/>
        <w:rPr>
          <w:rFonts w:hint="default" w:ascii="Times New Roman" w:hAnsi="Times New Roman" w:cs="Times New Roman"/>
          <w:color w:val="auto"/>
        </w:rPr>
      </w:pPr>
    </w:p>
    <w:p>
      <w:pPr>
        <w:pStyle w:val="7"/>
        <w:widowControl/>
        <w:spacing w:before="156" w:beforeLines="50" w:line="270" w:lineRule="atLeast"/>
        <w:jc w:val="center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第一章  总则</w:t>
      </w:r>
    </w:p>
    <w:p>
      <w:pPr>
        <w:pStyle w:val="7"/>
        <w:widowControl/>
        <w:spacing w:line="270" w:lineRule="atLeast"/>
        <w:ind w:right="-105"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第一条  为了贯彻落实《建设工程质量管理条例》，全面提升工程建设管理水平和工程质量，促使企业走质量效益型发展道路，广西工程建设质量安全管理协会（下简称本协会）在全区开展创建工程建设质量管理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企业、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项目部和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工作者活动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。为了做好相关工作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，特制订本办法。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第二条  创建广西工程建设质量管理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企业、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项目部和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工作者活动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是广西工程建设系统企业、项目部和质量管理工作者的质量管理荣誉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活动由本协会组织实施并进行表彰，接受自治区住房城乡建设厅指导。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在企业自愿的基础上，坚持“公平、公正、公开”的原则进行评选。活动每年开展一次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，当年12月至次年1月受理申报，次年一季度进行表彰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。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第三条  评选范围：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本协会会员企业及其下属项目部和个人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。</w:t>
      </w:r>
    </w:p>
    <w:p>
      <w:pPr>
        <w:numPr>
          <w:ilvl w:val="0"/>
          <w:numId w:val="1"/>
        </w:numPr>
        <w:tabs>
          <w:tab w:val="left" w:pos="3060"/>
        </w:tabs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本办法所指的企业是指：具有独立法人营业执照和建筑业企业资质证书，并取得建设行政主管部门颁发的安全生产许可证，在广西壮族自治区从事建设工程施工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（监理）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的企业；本办法所指的项目部是指：企业下属建设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工程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项目施工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（监理）管理团队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；本办法所指的工作者是指：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企业质量管理人员及项目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质量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pStyle w:val="7"/>
        <w:widowControl/>
        <w:spacing w:before="156" w:beforeLines="50" w:line="270" w:lineRule="atLeast"/>
        <w:jc w:val="center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第二章  申报条件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第五条  申报广西工程建设质量管理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企业、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项目部和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工作者应具备下列条件：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pacing w:val="-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bCs/>
          <w:color w:val="auto"/>
          <w:spacing w:val="-2"/>
          <w:sz w:val="32"/>
          <w:szCs w:val="32"/>
        </w:rPr>
        <w:t>申报广西工程建设质量管理</w:t>
      </w:r>
      <w:r>
        <w:rPr>
          <w:rFonts w:hint="default" w:ascii="Times New Roman" w:hAnsi="Times New Roman" w:eastAsia="方正仿宋_GBK" w:cs="Times New Roman"/>
          <w:bCs/>
          <w:color w:val="auto"/>
          <w:spacing w:val="-2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pacing w:val="-2"/>
          <w:sz w:val="32"/>
          <w:szCs w:val="32"/>
        </w:rPr>
        <w:t>企业应具备下列条件：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1.认真贯彻党的路线、方针、政策，锐意进取，改革创新，遵纪守法，自觉维护建筑市场秩序，严格执行国家、行业颁布的有关工程建设质量的法律法规及相关标准制度；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2.建立了完善的质量管理体系，建立健全各项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质量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管理制度，积极实施《工程建设施工企业质量管理规范》（GB/T50430）；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3.企业建立了健全的质量管理体系和质量保证体系并稳定有效的运行，取得了质量管理体系认证证书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按要求完成编制企业版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</w:rPr>
        <w:t>工程质量安全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手册，并加以实施应用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；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4.企业坚持以科技创新、管理创新提升企业质量管理水平，提高经营绩效水平。积极开发应用新技术、新工艺、新材料、新设备，在工程建设质量管理小组活动、节能环保、BIM技术应用等方面成绩突出，具有较强的市场竞争力和影响力；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5.近2年承建和竣工验收交付使用的建设工程质量全部符合国家验收标准，一次验收合格率100%；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6.施工现场管理规范，特种作业人员和质量管理人员持证上岗率达到100%，施工工程合格率达到100%；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7.申报企业至少获得以下荣誉中的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两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项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（1）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年内获得1个及以上中国建设工程鲁班奖；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（2）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年内获得1个及以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国家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级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优质工程奖；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2年内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获得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4个及以上省级优质工程奖；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）本年度组织开展了质量管理小组活动，并获得1个及以上在中国建筑业协会发布的成果，或2个及以上在中国建筑业协会交流的成果；或获得2个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以上自治区质量管理小组活动一类成果；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）承建（监理）的项目本年度举办过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1次及以上省级质量主题观摩会；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本年度在质量管理上有突出贡献或独特发明，获省、部级管理部门认可的。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8.本年度至上一年度内竣工交付使用的工程，未出现用户对工程质量的投诉情况，未发生过质量事故或生产安全事故；</w:t>
      </w:r>
    </w:p>
    <w:p>
      <w:pPr>
        <w:pStyle w:val="7"/>
        <w:widowControl/>
        <w:numPr>
          <w:ilvl w:val="0"/>
          <w:numId w:val="2"/>
        </w:numPr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申报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广西工程建设质量管理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项目部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应具备下列条件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：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highlight w:val="none"/>
        </w:rPr>
        <w:t>取得施工许可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eastAsia="zh-CN"/>
        </w:rPr>
        <w:t>证，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工程质量全部符合国家验收标准，一次验收合格率100%；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2.施工现场管理规范，特种作业人员和质量管理人员持证上岗率达到100%，施工工程合格率达到100%；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3.申报项目部积极组织开展了质量管理小组活动，获得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个及以上自治区质量管理小组活动二类成果。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4.申报项目部获得省级（含）以上优质工程奖；</w:t>
      </w:r>
    </w:p>
    <w:p>
      <w:pPr>
        <w:pStyle w:val="7"/>
        <w:spacing w:line="270" w:lineRule="atLeast"/>
        <w:ind w:right="-108" w:firstLine="561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.申报项目部未出现对工程质量的投诉情况，未发生过质量事故或生产安全事故。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申报项目部所属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公司（分）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未发生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一般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及以上等级质量事故、生产安全事故。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（三）申报广西工程建设质量管理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工作者应当具备下列条件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1.申报对象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为企业质量管理人员及项目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质量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人员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从事工程建设技术质量管理工作3年以上，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取得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质量管理岗位证或技术职称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，在本年度无不良业绩记录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；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当企业质量管理人员申报时应满足，所在企业本年度获得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2个以上省级优质工程奖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当项目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质量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管理人员申报时应满足，所在项目获得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省级优质工程奖。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3.牵头组织开展的质量管理小组活动成果获得1个及以上自治区一类成果，或2个及以上自治区二类成果。</w:t>
      </w:r>
    </w:p>
    <w:p>
      <w:pPr>
        <w:tabs>
          <w:tab w:val="left" w:pos="3060"/>
        </w:tabs>
        <w:ind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4.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申报者所在项目部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未出现对工程质量的投诉情况，未发生过质量事故或生产安全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等级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事故。</w:t>
      </w:r>
    </w:p>
    <w:p>
      <w:pPr>
        <w:tabs>
          <w:tab w:val="left" w:pos="3060"/>
        </w:tabs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第六条  有下列情形之一的企业不得申报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广西工程建设质量管理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企业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：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（一）申报企业本年度因恶意拖欠农民工工资、野蛮施工、严重扰民等受到举报、投诉而被新闻媒体曝光并经查实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（二）申报企业本年度施工现场管理不善、存在严重质量问题，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所承建（监理）的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项目被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自治区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住房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城乡建设主管部门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>2次及以上列入严管工程名单，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或被住房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城乡建设主管部门行政处罚；</w:t>
      </w:r>
    </w:p>
    <w:p>
      <w:pPr>
        <w:pStyle w:val="2"/>
        <w:ind w:firstLine="640" w:firstLineChars="200"/>
        <w:rPr>
          <w:rFonts w:hint="default" w:ascii="Times New Roman" w:hAnsi="Times New Roman" w:eastAsia="仿宋_GB2312" w:cs="Times New Roman"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经查实有其它违法违规行为。</w:t>
      </w:r>
    </w:p>
    <w:p>
      <w:pPr>
        <w:tabs>
          <w:tab w:val="left" w:pos="3060"/>
        </w:tabs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第七条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有下列情形之一的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不得申报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</w:rPr>
        <w:t>广西工程建设质量管理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eastAsia="zh-CN"/>
        </w:rPr>
        <w:t>先进项目部：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申报项目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被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住房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城乡建设主管部门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>列入严管工程名单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或被住房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城乡建设主管部门行政处罚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；</w:t>
      </w:r>
    </w:p>
    <w:p>
      <w:pPr>
        <w:pStyle w:val="2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（二）申报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项目在施工现场质量安全管理评价中得分低于80分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</w:p>
    <w:p>
      <w:pPr>
        <w:pStyle w:val="2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（三）项目主要管理人员综合到岗率低于每月施工天数的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80%；</w:t>
      </w:r>
    </w:p>
    <w:p>
      <w:pPr>
        <w:pStyle w:val="2"/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eastAsia="zh-CN"/>
        </w:rPr>
        <w:t>（四）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经查实有其它违法违规行为。</w:t>
      </w:r>
    </w:p>
    <w:p>
      <w:pPr>
        <w:tabs>
          <w:tab w:val="left" w:pos="3060"/>
        </w:tabs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第八条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有下列情形之一的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个人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不得申报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</w:rPr>
        <w:t>广西工程建设质量管理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eastAsia="zh-CN"/>
        </w:rPr>
        <w:t>先进工作者：</w:t>
      </w:r>
    </w:p>
    <w:p>
      <w:pPr>
        <w:pStyle w:val="2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（一）在住房和城乡建设行政主管部门组织的检查中，一年内3次不在项目现场的（有正当理由除外）；</w:t>
      </w:r>
    </w:p>
    <w:p>
      <w:pPr>
        <w:pStyle w:val="2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（二）不按要求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参加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住房和城乡建设行政主管部门组织的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继续教育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培训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pStyle w:val="2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（三）项目质量管理人员每月实际到岗天数低于施工天数的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80%；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经查实有其它违法违规行为。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</w:pPr>
    </w:p>
    <w:p>
      <w:pPr>
        <w:pStyle w:val="7"/>
        <w:widowControl/>
        <w:spacing w:before="156" w:beforeLines="50" w:line="270" w:lineRule="atLeast"/>
        <w:jc w:val="center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第三章  申报资料及评审程序</w:t>
      </w:r>
    </w:p>
    <w:p>
      <w:pPr>
        <w:tabs>
          <w:tab w:val="left" w:pos="3060"/>
        </w:tabs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条  创建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广西工程建设质量管理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企业、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项目部和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工作者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活动，实行企业自愿申报，项目部和个人由企业推荐的原则。</w:t>
      </w:r>
    </w:p>
    <w:p>
      <w:pPr>
        <w:pStyle w:val="7"/>
        <w:widowControl/>
        <w:spacing w:line="270" w:lineRule="atLeast"/>
        <w:ind w:right="-105"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第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条  申报时需提交以下申报资料，并保证资料真实可靠：</w:t>
      </w:r>
    </w:p>
    <w:p>
      <w:pPr>
        <w:pStyle w:val="7"/>
        <w:widowControl/>
        <w:spacing w:line="270" w:lineRule="atLeast"/>
        <w:ind w:right="-108"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广西工程建设质量管理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企业、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项目部和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工作者申报表（推荐表）；</w:t>
      </w:r>
    </w:p>
    <w:p>
      <w:pPr>
        <w:pStyle w:val="7"/>
        <w:widowControl/>
        <w:spacing w:line="270" w:lineRule="atLeast"/>
        <w:ind w:right="-108"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质量管理工作主要事迹证明材料；</w:t>
      </w:r>
    </w:p>
    <w:p>
      <w:pPr>
        <w:tabs>
          <w:tab w:val="left" w:pos="3060"/>
        </w:tabs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获奖证明材料。</w:t>
      </w:r>
    </w:p>
    <w:p>
      <w:pPr>
        <w:tabs>
          <w:tab w:val="left" w:pos="3060"/>
        </w:tabs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十一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条  创建广西工程建设质量管理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企业、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项目部和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工作者活动设立评选委员会，负责对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企业、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项目部和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工作者的评选。</w:t>
      </w:r>
    </w:p>
    <w:p>
      <w:pPr>
        <w:tabs>
          <w:tab w:val="left" w:pos="3060"/>
        </w:tabs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条  本协会对评出的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广西工程建设质量管理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企业、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项目部和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工作者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在广西工程建设质量安全管理协会网站（www.gxgczax.com）予以公示，公示期为7天，如无异议，则由本协会向社会公布。</w:t>
      </w:r>
    </w:p>
    <w:p>
      <w:pPr>
        <w:tabs>
          <w:tab w:val="left" w:pos="3060"/>
        </w:tabs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widowControl/>
        <w:spacing w:before="156" w:beforeLines="50" w:line="270" w:lineRule="atLeast"/>
        <w:jc w:val="center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第四章  奖惩办法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第十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 xml:space="preserve">条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获得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广西工程建设质量管理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企业、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项目部和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工作者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的企业、项目部和个人由本协会颁发荣誉证书和通报表彰，在广西工程建设质量安全管理协会网站公布，并建议所在单位给予奖励。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第十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条  广西工程建设质量管理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企业、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项目部和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工作者在获奖后2年内，如企业、项目部和个人所主要负责的项目发生生产安全事故、质量事故，以及严重市场违法违规行为，取消其荣誉，并收回证书。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</w:p>
    <w:p>
      <w:pPr>
        <w:pStyle w:val="7"/>
        <w:widowControl/>
        <w:spacing w:before="156" w:beforeLines="50" w:line="270" w:lineRule="atLeast"/>
        <w:jc w:val="center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第五章  评选纪律</w:t>
      </w:r>
    </w:p>
    <w:p>
      <w:pPr>
        <w:tabs>
          <w:tab w:val="left" w:pos="3060"/>
        </w:tabs>
        <w:ind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条  申报企业、项目部和个人应坚持实事求是的原则，不得以弄虚作假，行贿送礼等不正当手段骗取荣誉。对违反本办法有关纪行规定，视情节轻重，给予批评警告，直至撤销参评资格。</w:t>
      </w:r>
    </w:p>
    <w:p>
      <w:pPr>
        <w:tabs>
          <w:tab w:val="left" w:pos="3060"/>
        </w:tabs>
        <w:ind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第十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条  评选工作人员应当秉公办事，严格执行评选标准和有关规定，严守纪律，保守秘密。对违反本办法有关纪行规定，一经发现，视其情节轻重给予批评教育直至撤销其参加评选工作的资格。</w:t>
      </w:r>
    </w:p>
    <w:p>
      <w:pPr>
        <w:tabs>
          <w:tab w:val="left" w:pos="3060"/>
        </w:tabs>
        <w:ind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</w:p>
    <w:p>
      <w:pPr>
        <w:pStyle w:val="7"/>
        <w:widowControl/>
        <w:spacing w:before="156" w:beforeLines="50" w:line="270" w:lineRule="atLeast"/>
        <w:jc w:val="center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第六章  附则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第十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条  本办法由广西工程建设质量安全管理协会负责解释。</w:t>
      </w:r>
    </w:p>
    <w:p>
      <w:pPr>
        <w:pStyle w:val="7"/>
        <w:widowControl/>
        <w:spacing w:line="270" w:lineRule="atLeast"/>
        <w:ind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第十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条  本办法自发布之日起执行。</w:t>
      </w:r>
    </w:p>
    <w:p>
      <w:pPr>
        <w:pStyle w:val="7"/>
        <w:widowControl/>
        <w:spacing w:line="270" w:lineRule="atLeast"/>
        <w:ind w:left="566" w:right="-105" w:firstLine="56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</w:p>
    <w:p>
      <w:pPr>
        <w:pStyle w:val="7"/>
        <w:widowControl/>
        <w:spacing w:line="270" w:lineRule="atLeast"/>
        <w:ind w:right="-105" w:firstLine="640" w:firstLineChars="2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附件：广西工程建设质量管理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企业申报表</w:t>
      </w:r>
    </w:p>
    <w:p>
      <w:pPr>
        <w:pStyle w:val="7"/>
        <w:widowControl/>
        <w:spacing w:line="270" w:lineRule="atLeast"/>
        <w:ind w:right="-105" w:firstLine="1600" w:firstLineChars="5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广西工程建设质量管理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项目部推荐表</w:t>
      </w:r>
    </w:p>
    <w:p>
      <w:pPr>
        <w:pStyle w:val="7"/>
        <w:widowControl/>
        <w:spacing w:line="270" w:lineRule="atLeast"/>
        <w:ind w:right="-105" w:firstLine="1600" w:firstLineChars="500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广西工程建设质量管理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  <w:t>先进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工作者推荐表</w:t>
      </w:r>
    </w:p>
    <w:p>
      <w:pP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sectPr>
          <w:footerReference r:id="rId3" w:type="default"/>
          <w:pgSz w:w="11906" w:h="16838"/>
          <w:pgMar w:top="1417" w:right="1701" w:bottom="1417" w:left="1701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tabs>
          <w:tab w:val="left" w:pos="3060"/>
          <w:tab w:val="left" w:pos="8280"/>
          <w:tab w:val="left" w:pos="8820"/>
        </w:tabs>
        <w:ind w:right="26" w:firstLine="141" w:firstLineChars="50"/>
        <w:rPr>
          <w:rFonts w:hint="default" w:ascii="Times New Roman" w:hAnsi="Times New Roman" w:eastAsia="仿宋_GB2312" w:cs="Times New Roman"/>
          <w:b/>
          <w:bCs/>
          <w:color w:val="auto"/>
          <w:sz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 xml:space="preserve">                                                  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</w:rPr>
        <w:t>编号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u w:val="single"/>
        </w:rPr>
        <w:t xml:space="preserve">        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广西工程建设质量管理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  <w:t>先进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企业申报表</w:t>
      </w:r>
    </w:p>
    <w:tbl>
      <w:tblPr>
        <w:tblStyle w:val="8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9"/>
        <w:gridCol w:w="2461"/>
        <w:gridCol w:w="16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企业名称</w:t>
            </w:r>
          </w:p>
        </w:tc>
        <w:tc>
          <w:tcPr>
            <w:tcW w:w="714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通讯地址</w:t>
            </w:r>
          </w:p>
        </w:tc>
        <w:tc>
          <w:tcPr>
            <w:tcW w:w="714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企业资质</w:t>
            </w:r>
          </w:p>
        </w:tc>
        <w:tc>
          <w:tcPr>
            <w:tcW w:w="714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法人代表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企业成立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日期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总工程师（或副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经理）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  话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质量管理部门（处室）名称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负责人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  话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电子邮箱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联系人姓名</w:t>
            </w:r>
          </w:p>
        </w:tc>
        <w:tc>
          <w:tcPr>
            <w:tcW w:w="24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4"/>
              </w:rPr>
              <w:t>联系电话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1" w:hRule="atLeast"/>
        </w:trPr>
        <w:tc>
          <w:tcPr>
            <w:tcW w:w="9540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质量管理工作主要事迹：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（可另附页）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                      （盖章）       年   月   日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954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审批意见：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                </w:t>
            </w:r>
          </w:p>
          <w:p>
            <w:pPr>
              <w:tabs>
                <w:tab w:val="left" w:pos="5310"/>
              </w:tabs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（盖章）       年   月   日</w:t>
            </w: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/>
          <w:bCs/>
          <w:color w:val="auto"/>
          <w:sz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4"/>
        </w:rPr>
        <w:t xml:space="preserve">                                                编号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u w:val="single"/>
        </w:rPr>
        <w:t xml:space="preserve">          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/>
          <w:bCs/>
          <w:color w:val="auto"/>
          <w:sz w:val="36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广西工程建设质量管理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  <w:t>先进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项目部推荐表</w:t>
      </w:r>
    </w:p>
    <w:tbl>
      <w:tblPr>
        <w:tblStyle w:val="8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700"/>
        <w:gridCol w:w="198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公司（分）名称</w:t>
            </w:r>
          </w:p>
        </w:tc>
        <w:tc>
          <w:tcPr>
            <w:tcW w:w="73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项目部名称</w:t>
            </w:r>
          </w:p>
        </w:tc>
        <w:tc>
          <w:tcPr>
            <w:tcW w:w="73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项目部地址</w:t>
            </w:r>
          </w:p>
        </w:tc>
        <w:tc>
          <w:tcPr>
            <w:tcW w:w="738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0" w:type="dxa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邮    编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项目负责人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  话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项目部</w:t>
            </w: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4"/>
              </w:rPr>
              <w:t>人数</w:t>
            </w:r>
          </w:p>
        </w:tc>
        <w:tc>
          <w:tcPr>
            <w:tcW w:w="2700" w:type="dxa"/>
            <w:vAlign w:val="center"/>
          </w:tcPr>
          <w:p>
            <w:pPr>
              <w:ind w:firstLine="120" w:firstLineChars="50"/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人员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            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持证率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联系人姓名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4"/>
              </w:rPr>
              <w:t>联系电话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</w:trPr>
        <w:tc>
          <w:tcPr>
            <w:tcW w:w="9540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质量管理工作主要事迹：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（可另附页）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9540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企业推荐意见：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（盖章）       年   月   日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9540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审批意见：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（盖章）       年   月   日</w:t>
            </w: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 xml:space="preserve">                                             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/>
          <w:bCs/>
          <w:color w:val="auto"/>
          <w:sz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</w:rPr>
        <w:t>编号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  <w:u w:val="single"/>
        </w:rPr>
        <w:t xml:space="preserve">         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广西工程建设质量管理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  <w:t>先进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</w:rPr>
        <w:t>工作者推荐表</w:t>
      </w:r>
    </w:p>
    <w:tbl>
      <w:tblPr>
        <w:tblStyle w:val="8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09"/>
        <w:gridCol w:w="1230"/>
        <w:gridCol w:w="2033"/>
        <w:gridCol w:w="1434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公司（分）名称</w:t>
            </w:r>
          </w:p>
        </w:tc>
        <w:tc>
          <w:tcPr>
            <w:tcW w:w="69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项目或部门名称</w:t>
            </w:r>
          </w:p>
        </w:tc>
        <w:tc>
          <w:tcPr>
            <w:tcW w:w="69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名</w:t>
            </w:r>
          </w:p>
        </w:tc>
        <w:tc>
          <w:tcPr>
            <w:tcW w:w="15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别</w:t>
            </w:r>
          </w:p>
        </w:tc>
        <w:tc>
          <w:tcPr>
            <w:tcW w:w="20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225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 历</w:t>
            </w:r>
          </w:p>
        </w:tc>
        <w:tc>
          <w:tcPr>
            <w:tcW w:w="15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 称</w:t>
            </w:r>
          </w:p>
        </w:tc>
        <w:tc>
          <w:tcPr>
            <w:tcW w:w="20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 务</w:t>
            </w:r>
          </w:p>
        </w:tc>
        <w:tc>
          <w:tcPr>
            <w:tcW w:w="225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面貌</w:t>
            </w:r>
          </w:p>
        </w:tc>
        <w:tc>
          <w:tcPr>
            <w:tcW w:w="15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从事质量管理工作年限</w:t>
            </w:r>
          </w:p>
        </w:tc>
        <w:tc>
          <w:tcPr>
            <w:tcW w:w="20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225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8" w:hRule="atLeast"/>
        </w:trPr>
        <w:tc>
          <w:tcPr>
            <w:tcW w:w="9540" w:type="dxa"/>
            <w:gridSpan w:val="6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质量管理工作主要事迹：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（可另附页）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9540" w:type="dxa"/>
            <w:gridSpan w:val="6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企业推荐意见：</w:t>
            </w:r>
          </w:p>
          <w:p>
            <w:pPr>
              <w:pStyle w:val="2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（盖章）       年   月   日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9540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审批意见：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                                     </w:t>
            </w: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ind w:firstLine="5520" w:firstLineChars="23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（盖章）       年   月   日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1134" w:right="1304" w:bottom="1134" w:left="130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99F8AF"/>
    <w:multiLevelType w:val="singleLevel"/>
    <w:tmpl w:val="8599F8AF"/>
    <w:lvl w:ilvl="0" w:tentative="0">
      <w:start w:val="4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F0BDDE32"/>
    <w:multiLevelType w:val="singleLevel"/>
    <w:tmpl w:val="F0BDDE3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NDA1ZmVkOWJjM2VjM2JjZDUwZTI0YzU0ZDdjYzcifQ=="/>
  </w:docVars>
  <w:rsids>
    <w:rsidRoot w:val="003165C1"/>
    <w:rsid w:val="001F3ADA"/>
    <w:rsid w:val="003165C1"/>
    <w:rsid w:val="00422CA2"/>
    <w:rsid w:val="008C1907"/>
    <w:rsid w:val="00A96DBE"/>
    <w:rsid w:val="00C602C0"/>
    <w:rsid w:val="00CC7008"/>
    <w:rsid w:val="00CF559A"/>
    <w:rsid w:val="00DF3269"/>
    <w:rsid w:val="00E42CC3"/>
    <w:rsid w:val="00EB1C0E"/>
    <w:rsid w:val="016F5080"/>
    <w:rsid w:val="019D47B9"/>
    <w:rsid w:val="01B85F94"/>
    <w:rsid w:val="01D05532"/>
    <w:rsid w:val="020F28D0"/>
    <w:rsid w:val="020F7B7E"/>
    <w:rsid w:val="02111B48"/>
    <w:rsid w:val="025F61E0"/>
    <w:rsid w:val="0278789B"/>
    <w:rsid w:val="0283221E"/>
    <w:rsid w:val="02CF64DF"/>
    <w:rsid w:val="030C78DB"/>
    <w:rsid w:val="030D2310"/>
    <w:rsid w:val="03457CFC"/>
    <w:rsid w:val="03CF2CD8"/>
    <w:rsid w:val="04387F6C"/>
    <w:rsid w:val="047D3E19"/>
    <w:rsid w:val="04FF7B6C"/>
    <w:rsid w:val="050D65F7"/>
    <w:rsid w:val="05C37585"/>
    <w:rsid w:val="05CE6104"/>
    <w:rsid w:val="062E4A77"/>
    <w:rsid w:val="06401ECA"/>
    <w:rsid w:val="06723A6C"/>
    <w:rsid w:val="072A3C23"/>
    <w:rsid w:val="0760569E"/>
    <w:rsid w:val="0773711D"/>
    <w:rsid w:val="07BF0C15"/>
    <w:rsid w:val="07C56684"/>
    <w:rsid w:val="07EF0236"/>
    <w:rsid w:val="08354A32"/>
    <w:rsid w:val="087007AB"/>
    <w:rsid w:val="08EE62BD"/>
    <w:rsid w:val="090E3FA0"/>
    <w:rsid w:val="09652F43"/>
    <w:rsid w:val="09786907"/>
    <w:rsid w:val="099177D3"/>
    <w:rsid w:val="09F5744B"/>
    <w:rsid w:val="0AAF01F5"/>
    <w:rsid w:val="0ACB0E4C"/>
    <w:rsid w:val="0B9F3D21"/>
    <w:rsid w:val="0C430E1A"/>
    <w:rsid w:val="0CA04A57"/>
    <w:rsid w:val="0CF13772"/>
    <w:rsid w:val="0CFC6FD9"/>
    <w:rsid w:val="0D1D3A97"/>
    <w:rsid w:val="0D2119F5"/>
    <w:rsid w:val="0D21422C"/>
    <w:rsid w:val="0D4F1BB0"/>
    <w:rsid w:val="0D9E3D77"/>
    <w:rsid w:val="0DDA22DA"/>
    <w:rsid w:val="0FD337CA"/>
    <w:rsid w:val="10EF1144"/>
    <w:rsid w:val="11A557A8"/>
    <w:rsid w:val="11CB5909"/>
    <w:rsid w:val="11F7205C"/>
    <w:rsid w:val="122B20B9"/>
    <w:rsid w:val="123A29F6"/>
    <w:rsid w:val="12955E7E"/>
    <w:rsid w:val="12EA7CAB"/>
    <w:rsid w:val="13545D39"/>
    <w:rsid w:val="137E1FD4"/>
    <w:rsid w:val="13E230D6"/>
    <w:rsid w:val="14E5428F"/>
    <w:rsid w:val="14EB18BB"/>
    <w:rsid w:val="15707482"/>
    <w:rsid w:val="1607347D"/>
    <w:rsid w:val="1631103E"/>
    <w:rsid w:val="16363F00"/>
    <w:rsid w:val="163E623C"/>
    <w:rsid w:val="170B4961"/>
    <w:rsid w:val="1719351A"/>
    <w:rsid w:val="17457E73"/>
    <w:rsid w:val="178F5592"/>
    <w:rsid w:val="17FD5A54"/>
    <w:rsid w:val="183D3240"/>
    <w:rsid w:val="186434BC"/>
    <w:rsid w:val="189E0D1F"/>
    <w:rsid w:val="18B0681F"/>
    <w:rsid w:val="18C02C07"/>
    <w:rsid w:val="193B3224"/>
    <w:rsid w:val="1A427C9A"/>
    <w:rsid w:val="1B517DAC"/>
    <w:rsid w:val="1B620041"/>
    <w:rsid w:val="1C302A20"/>
    <w:rsid w:val="1CAE6328"/>
    <w:rsid w:val="1CF241A5"/>
    <w:rsid w:val="1D443432"/>
    <w:rsid w:val="1D5E085D"/>
    <w:rsid w:val="1D796AC8"/>
    <w:rsid w:val="1DA239BC"/>
    <w:rsid w:val="1DC56410"/>
    <w:rsid w:val="1DE23C92"/>
    <w:rsid w:val="1DFE0D7B"/>
    <w:rsid w:val="1E4F7829"/>
    <w:rsid w:val="1F4B6F29"/>
    <w:rsid w:val="1F9C6151"/>
    <w:rsid w:val="1FA00696"/>
    <w:rsid w:val="1FF16606"/>
    <w:rsid w:val="20EE157B"/>
    <w:rsid w:val="21110DC5"/>
    <w:rsid w:val="213419C6"/>
    <w:rsid w:val="220172E1"/>
    <w:rsid w:val="220A23E4"/>
    <w:rsid w:val="234D33B5"/>
    <w:rsid w:val="24341478"/>
    <w:rsid w:val="245C1A39"/>
    <w:rsid w:val="24AE0ACE"/>
    <w:rsid w:val="24E862E1"/>
    <w:rsid w:val="25484A9E"/>
    <w:rsid w:val="26526108"/>
    <w:rsid w:val="26E06015"/>
    <w:rsid w:val="27072CB4"/>
    <w:rsid w:val="272F1FA5"/>
    <w:rsid w:val="27363334"/>
    <w:rsid w:val="2752356D"/>
    <w:rsid w:val="278B15F4"/>
    <w:rsid w:val="27C9064C"/>
    <w:rsid w:val="27FA0805"/>
    <w:rsid w:val="282F2576"/>
    <w:rsid w:val="28630C01"/>
    <w:rsid w:val="28750992"/>
    <w:rsid w:val="288E2F5F"/>
    <w:rsid w:val="2900284A"/>
    <w:rsid w:val="29B22C4F"/>
    <w:rsid w:val="29F33425"/>
    <w:rsid w:val="2A2A14BF"/>
    <w:rsid w:val="2A672E4C"/>
    <w:rsid w:val="2B1D56D2"/>
    <w:rsid w:val="2B394EFF"/>
    <w:rsid w:val="2C14164B"/>
    <w:rsid w:val="2C423542"/>
    <w:rsid w:val="2CB71507"/>
    <w:rsid w:val="2D401CB3"/>
    <w:rsid w:val="2D56266F"/>
    <w:rsid w:val="2D7A5C8C"/>
    <w:rsid w:val="2DA8326C"/>
    <w:rsid w:val="2E0E3854"/>
    <w:rsid w:val="2E13617D"/>
    <w:rsid w:val="2E444BEC"/>
    <w:rsid w:val="2E76670C"/>
    <w:rsid w:val="2E7D4E41"/>
    <w:rsid w:val="2F180618"/>
    <w:rsid w:val="2F5D3CE8"/>
    <w:rsid w:val="2F6219FC"/>
    <w:rsid w:val="2F6C5BF3"/>
    <w:rsid w:val="2F827A5E"/>
    <w:rsid w:val="2FDB5252"/>
    <w:rsid w:val="30085A89"/>
    <w:rsid w:val="311B000E"/>
    <w:rsid w:val="31912677"/>
    <w:rsid w:val="32664285"/>
    <w:rsid w:val="334D37C0"/>
    <w:rsid w:val="33B403DB"/>
    <w:rsid w:val="33D502EF"/>
    <w:rsid w:val="340A7A29"/>
    <w:rsid w:val="3422536C"/>
    <w:rsid w:val="346F6F3F"/>
    <w:rsid w:val="35501AF0"/>
    <w:rsid w:val="35B244CD"/>
    <w:rsid w:val="35B6328D"/>
    <w:rsid w:val="37893A5D"/>
    <w:rsid w:val="378C29D9"/>
    <w:rsid w:val="37AD0F36"/>
    <w:rsid w:val="37FC5ED4"/>
    <w:rsid w:val="383C2774"/>
    <w:rsid w:val="3865381C"/>
    <w:rsid w:val="38657F1D"/>
    <w:rsid w:val="38741F0E"/>
    <w:rsid w:val="3894610C"/>
    <w:rsid w:val="38953021"/>
    <w:rsid w:val="39087725"/>
    <w:rsid w:val="39184F17"/>
    <w:rsid w:val="393550D2"/>
    <w:rsid w:val="393F1432"/>
    <w:rsid w:val="396C0E37"/>
    <w:rsid w:val="39965EB4"/>
    <w:rsid w:val="3A6316FB"/>
    <w:rsid w:val="3A687850"/>
    <w:rsid w:val="3A850402"/>
    <w:rsid w:val="3A9D66C5"/>
    <w:rsid w:val="3B183024"/>
    <w:rsid w:val="3B847797"/>
    <w:rsid w:val="3C64721C"/>
    <w:rsid w:val="3D172DD6"/>
    <w:rsid w:val="3D882AA4"/>
    <w:rsid w:val="3D9A41C5"/>
    <w:rsid w:val="3DE24152"/>
    <w:rsid w:val="3E6C1015"/>
    <w:rsid w:val="3EF87C7C"/>
    <w:rsid w:val="3F5D194E"/>
    <w:rsid w:val="3FEB51AC"/>
    <w:rsid w:val="3FFD1AAE"/>
    <w:rsid w:val="4013025E"/>
    <w:rsid w:val="40627033"/>
    <w:rsid w:val="409273D5"/>
    <w:rsid w:val="40CB7E91"/>
    <w:rsid w:val="40E204CC"/>
    <w:rsid w:val="41B415CD"/>
    <w:rsid w:val="42061294"/>
    <w:rsid w:val="42DB031F"/>
    <w:rsid w:val="42E14FB0"/>
    <w:rsid w:val="42F60F5C"/>
    <w:rsid w:val="43A43A29"/>
    <w:rsid w:val="44021E5A"/>
    <w:rsid w:val="443F7874"/>
    <w:rsid w:val="44A41DCD"/>
    <w:rsid w:val="44E4705A"/>
    <w:rsid w:val="451505D5"/>
    <w:rsid w:val="45192324"/>
    <w:rsid w:val="4550160D"/>
    <w:rsid w:val="464949DA"/>
    <w:rsid w:val="46791BF9"/>
    <w:rsid w:val="46B04A59"/>
    <w:rsid w:val="46D84A12"/>
    <w:rsid w:val="47137B50"/>
    <w:rsid w:val="47347438"/>
    <w:rsid w:val="47C10485"/>
    <w:rsid w:val="48164D90"/>
    <w:rsid w:val="4839282C"/>
    <w:rsid w:val="484D4AEE"/>
    <w:rsid w:val="485633DE"/>
    <w:rsid w:val="48C56E7A"/>
    <w:rsid w:val="49937842"/>
    <w:rsid w:val="49B4479B"/>
    <w:rsid w:val="49D5669F"/>
    <w:rsid w:val="4A4C6450"/>
    <w:rsid w:val="4AA604B7"/>
    <w:rsid w:val="4AD95BB7"/>
    <w:rsid w:val="4B0940A8"/>
    <w:rsid w:val="4B9C066E"/>
    <w:rsid w:val="4BED0AA5"/>
    <w:rsid w:val="4C7C7A72"/>
    <w:rsid w:val="4D1148E9"/>
    <w:rsid w:val="4D302EA5"/>
    <w:rsid w:val="4D63746C"/>
    <w:rsid w:val="4D6A0AB4"/>
    <w:rsid w:val="4D926C66"/>
    <w:rsid w:val="4DF40AF8"/>
    <w:rsid w:val="4F8D0335"/>
    <w:rsid w:val="4FC63C1D"/>
    <w:rsid w:val="50A56CB1"/>
    <w:rsid w:val="50C80BF1"/>
    <w:rsid w:val="50D7498F"/>
    <w:rsid w:val="511A76CE"/>
    <w:rsid w:val="51A8177D"/>
    <w:rsid w:val="51ED3BFF"/>
    <w:rsid w:val="51FA74D0"/>
    <w:rsid w:val="52035D13"/>
    <w:rsid w:val="521F2ED6"/>
    <w:rsid w:val="5257222D"/>
    <w:rsid w:val="52A037DB"/>
    <w:rsid w:val="52FD430F"/>
    <w:rsid w:val="530B4727"/>
    <w:rsid w:val="53B65F21"/>
    <w:rsid w:val="53CE1E75"/>
    <w:rsid w:val="53FF18FF"/>
    <w:rsid w:val="54183C3E"/>
    <w:rsid w:val="54631411"/>
    <w:rsid w:val="54CE325D"/>
    <w:rsid w:val="54DC4C21"/>
    <w:rsid w:val="54DE6B63"/>
    <w:rsid w:val="54F710D4"/>
    <w:rsid w:val="554950D3"/>
    <w:rsid w:val="55E81F02"/>
    <w:rsid w:val="55F26F5E"/>
    <w:rsid w:val="56102E1E"/>
    <w:rsid w:val="5659367B"/>
    <w:rsid w:val="56B15715"/>
    <w:rsid w:val="56DC71A4"/>
    <w:rsid w:val="57EF1159"/>
    <w:rsid w:val="58276B45"/>
    <w:rsid w:val="583D455F"/>
    <w:rsid w:val="58825DC3"/>
    <w:rsid w:val="58972AEE"/>
    <w:rsid w:val="58CF31E9"/>
    <w:rsid w:val="58D42276"/>
    <w:rsid w:val="58F95228"/>
    <w:rsid w:val="59712469"/>
    <w:rsid w:val="59D71162"/>
    <w:rsid w:val="59DC785B"/>
    <w:rsid w:val="5A1D25A4"/>
    <w:rsid w:val="5AE964C2"/>
    <w:rsid w:val="5B2256A9"/>
    <w:rsid w:val="5B327DBC"/>
    <w:rsid w:val="5B555EB0"/>
    <w:rsid w:val="5BAB7C36"/>
    <w:rsid w:val="5BE43388"/>
    <w:rsid w:val="5C1301FD"/>
    <w:rsid w:val="5C2F6805"/>
    <w:rsid w:val="5C361105"/>
    <w:rsid w:val="5CCA4EAD"/>
    <w:rsid w:val="5CCB5CF1"/>
    <w:rsid w:val="5CDA5D28"/>
    <w:rsid w:val="5CEC1526"/>
    <w:rsid w:val="5D616655"/>
    <w:rsid w:val="5E304655"/>
    <w:rsid w:val="5E43171A"/>
    <w:rsid w:val="5EBE7499"/>
    <w:rsid w:val="5FD44EBD"/>
    <w:rsid w:val="600519C1"/>
    <w:rsid w:val="600C2A5E"/>
    <w:rsid w:val="606753AF"/>
    <w:rsid w:val="60740ADE"/>
    <w:rsid w:val="60746D49"/>
    <w:rsid w:val="60762418"/>
    <w:rsid w:val="608A5EC3"/>
    <w:rsid w:val="60A43F9C"/>
    <w:rsid w:val="60FB46CB"/>
    <w:rsid w:val="61C675A8"/>
    <w:rsid w:val="6240086A"/>
    <w:rsid w:val="624B1238"/>
    <w:rsid w:val="627B3D15"/>
    <w:rsid w:val="62C14C02"/>
    <w:rsid w:val="62EA59E4"/>
    <w:rsid w:val="632D071E"/>
    <w:rsid w:val="63901A42"/>
    <w:rsid w:val="63B55005"/>
    <w:rsid w:val="63C416EC"/>
    <w:rsid w:val="64260D50"/>
    <w:rsid w:val="642F3009"/>
    <w:rsid w:val="64F86609"/>
    <w:rsid w:val="65FA7A5E"/>
    <w:rsid w:val="660B4DDE"/>
    <w:rsid w:val="663E29C1"/>
    <w:rsid w:val="66A4038D"/>
    <w:rsid w:val="66F145A6"/>
    <w:rsid w:val="66FA3298"/>
    <w:rsid w:val="67350506"/>
    <w:rsid w:val="67430B7A"/>
    <w:rsid w:val="67B9109D"/>
    <w:rsid w:val="68824896"/>
    <w:rsid w:val="688C3C91"/>
    <w:rsid w:val="68D636CE"/>
    <w:rsid w:val="694246B9"/>
    <w:rsid w:val="69472290"/>
    <w:rsid w:val="6949649F"/>
    <w:rsid w:val="69697CD8"/>
    <w:rsid w:val="69BE0BE1"/>
    <w:rsid w:val="69D5404A"/>
    <w:rsid w:val="6A250C67"/>
    <w:rsid w:val="6A794FDE"/>
    <w:rsid w:val="6AD761A9"/>
    <w:rsid w:val="6AD93CCF"/>
    <w:rsid w:val="6B0047B8"/>
    <w:rsid w:val="6BC54253"/>
    <w:rsid w:val="6C8D2FC3"/>
    <w:rsid w:val="6CA030AC"/>
    <w:rsid w:val="6CEC7175"/>
    <w:rsid w:val="6D902C96"/>
    <w:rsid w:val="6EBA7973"/>
    <w:rsid w:val="6EF40A06"/>
    <w:rsid w:val="6EF67BF6"/>
    <w:rsid w:val="6F53454E"/>
    <w:rsid w:val="701B4038"/>
    <w:rsid w:val="7087050B"/>
    <w:rsid w:val="70B62381"/>
    <w:rsid w:val="71067AEA"/>
    <w:rsid w:val="710F08FB"/>
    <w:rsid w:val="712E63F7"/>
    <w:rsid w:val="71C60FAF"/>
    <w:rsid w:val="71F238C8"/>
    <w:rsid w:val="72077414"/>
    <w:rsid w:val="720A6D88"/>
    <w:rsid w:val="72342FB6"/>
    <w:rsid w:val="72777C7B"/>
    <w:rsid w:val="730F451A"/>
    <w:rsid w:val="73390462"/>
    <w:rsid w:val="73C4617B"/>
    <w:rsid w:val="73F47D38"/>
    <w:rsid w:val="75047B9A"/>
    <w:rsid w:val="75114065"/>
    <w:rsid w:val="75910AD2"/>
    <w:rsid w:val="75C04013"/>
    <w:rsid w:val="77CB2BF1"/>
    <w:rsid w:val="77D6601D"/>
    <w:rsid w:val="77EF68E0"/>
    <w:rsid w:val="78A7540C"/>
    <w:rsid w:val="78B10039"/>
    <w:rsid w:val="78CA4F33"/>
    <w:rsid w:val="78F823BE"/>
    <w:rsid w:val="793D4316"/>
    <w:rsid w:val="79640CE8"/>
    <w:rsid w:val="79FE1CD8"/>
    <w:rsid w:val="7A392094"/>
    <w:rsid w:val="7A497EBC"/>
    <w:rsid w:val="7A7E03EF"/>
    <w:rsid w:val="7AA339B1"/>
    <w:rsid w:val="7AD80D85"/>
    <w:rsid w:val="7AFF0393"/>
    <w:rsid w:val="7B1D3764"/>
    <w:rsid w:val="7BCD6656"/>
    <w:rsid w:val="7CB60EA9"/>
    <w:rsid w:val="7CC61419"/>
    <w:rsid w:val="7D2332A2"/>
    <w:rsid w:val="7D583F48"/>
    <w:rsid w:val="7D847ACA"/>
    <w:rsid w:val="7DB770C0"/>
    <w:rsid w:val="7E4B4A8C"/>
    <w:rsid w:val="7E4D3A51"/>
    <w:rsid w:val="7EAB757D"/>
    <w:rsid w:val="7F417870"/>
    <w:rsid w:val="7F6838B3"/>
    <w:rsid w:val="7FE505C8"/>
    <w:rsid w:val="7FF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300" w:firstLineChars="100"/>
    </w:pPr>
    <w:rPr>
      <w:sz w:val="30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3356</Words>
  <Characters>3421</Characters>
  <Lines>28</Lines>
  <Paragraphs>8</Paragraphs>
  <TotalTime>11</TotalTime>
  <ScaleCrop>false</ScaleCrop>
  <LinksUpToDate>false</LinksUpToDate>
  <CharactersWithSpaces>4073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Riley Xie</cp:lastModifiedBy>
  <cp:lastPrinted>2023-01-05T02:44:03Z</cp:lastPrinted>
  <dcterms:modified xsi:type="dcterms:W3CDTF">2023-01-05T03:41:11Z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5548234D51744EC48E78CF049F238069</vt:lpwstr>
  </property>
</Properties>
</file>